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B8" w:rsidRDefault="005204B8" w:rsidP="005204B8">
      <w:pPr>
        <w:pStyle w:val="ConsNormal"/>
        <w:widowControl/>
        <w:ind w:firstLine="0"/>
        <w:outlineLvl w:val="0"/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</w:t>
      </w:r>
      <w:r>
        <w:t>Форма 6-к</w:t>
      </w:r>
    </w:p>
    <w:p w:rsidR="005204B8" w:rsidRDefault="005204B8" w:rsidP="005204B8">
      <w:pPr>
        <w:pStyle w:val="ConsNormal"/>
        <w:widowControl/>
        <w:ind w:firstLine="0"/>
        <w:jc w:val="right"/>
      </w:pPr>
      <w:r>
        <w:t>Утверждена</w:t>
      </w:r>
    </w:p>
    <w:p w:rsidR="005204B8" w:rsidRDefault="005204B8" w:rsidP="005204B8">
      <w:pPr>
        <w:pStyle w:val="ConsNormal"/>
        <w:widowControl/>
        <w:ind w:firstLine="0"/>
        <w:jc w:val="right"/>
        <w:outlineLvl w:val="0"/>
        <w:rPr>
          <w:b/>
        </w:rPr>
      </w:pPr>
      <w:r w:rsidRPr="00D7294E">
        <w:rPr>
          <w:b/>
        </w:rPr>
        <w:t>Водоотведение</w:t>
      </w:r>
    </w:p>
    <w:p w:rsidR="005204B8" w:rsidRPr="00192420" w:rsidRDefault="005204B8" w:rsidP="005204B8">
      <w:pPr>
        <w:pStyle w:val="ConsNormal"/>
        <w:widowControl/>
        <w:ind w:firstLine="0"/>
        <w:outlineLvl w:val="0"/>
        <w:rPr>
          <w:b/>
        </w:rPr>
      </w:pPr>
      <w:r w:rsidRPr="00D7294E">
        <w:rPr>
          <w:b/>
        </w:rPr>
        <w:t xml:space="preserve">Организация  </w:t>
      </w:r>
      <w:r w:rsidRPr="00192420">
        <w:rPr>
          <w:sz w:val="22"/>
          <w:szCs w:val="22"/>
          <w:u w:val="single"/>
        </w:rPr>
        <w:t>Общество с ограниченной ответственностью</w:t>
      </w:r>
      <w:r>
        <w:rPr>
          <w:b/>
          <w:sz w:val="14"/>
          <w:szCs w:val="14"/>
          <w:u w:val="single"/>
        </w:rPr>
        <w:t xml:space="preserve"> </w:t>
      </w:r>
      <w:r w:rsidRPr="00D7294E">
        <w:rPr>
          <w:b/>
          <w:sz w:val="14"/>
          <w:szCs w:val="14"/>
          <w:u w:val="single"/>
        </w:rPr>
        <w:t xml:space="preserve"> </w:t>
      </w:r>
      <w:r w:rsidRPr="00192420">
        <w:rPr>
          <w:b/>
          <w:sz w:val="24"/>
          <w:szCs w:val="24"/>
          <w:u w:val="single"/>
        </w:rPr>
        <w:t>«</w:t>
      </w:r>
      <w:r w:rsidRPr="00192420">
        <w:rPr>
          <w:b/>
          <w:u w:val="single"/>
        </w:rPr>
        <w:t>ВОДОКАНАЛ»</w:t>
      </w:r>
    </w:p>
    <w:p w:rsidR="005204B8" w:rsidRDefault="005204B8" w:rsidP="005204B8">
      <w:pPr>
        <w:pStyle w:val="ConsNormal"/>
        <w:widowControl/>
        <w:ind w:firstLine="0"/>
        <w:outlineLvl w:val="0"/>
      </w:pPr>
      <w:r w:rsidRPr="00D7294E">
        <w:rPr>
          <w:b/>
        </w:rPr>
        <w:t xml:space="preserve">Отрасль (вид деятельности) </w:t>
      </w:r>
      <w:proofErr w:type="spellStart"/>
      <w:r w:rsidRPr="00D7294E">
        <w:rPr>
          <w:b/>
        </w:rPr>
        <w:t>___________</w:t>
      </w:r>
      <w:r w:rsidRPr="00192420">
        <w:rPr>
          <w:b/>
        </w:rPr>
        <w:t>Водоотведение</w:t>
      </w:r>
      <w:proofErr w:type="spellEnd"/>
      <w:r w:rsidRPr="00192420">
        <w:rPr>
          <w:b/>
        </w:rPr>
        <w:t>_____________________________</w:t>
      </w:r>
    </w:p>
    <w:p w:rsidR="005204B8" w:rsidRDefault="005204B8" w:rsidP="005204B8">
      <w:pPr>
        <w:pStyle w:val="ConsNormal"/>
        <w:widowControl/>
        <w:ind w:firstLine="0"/>
        <w:jc w:val="center"/>
        <w:outlineLvl w:val="0"/>
        <w:rPr>
          <w:b/>
        </w:rPr>
      </w:pPr>
    </w:p>
    <w:p w:rsidR="005204B8" w:rsidRPr="00D5065D" w:rsidRDefault="005204B8" w:rsidP="005204B8">
      <w:pPr>
        <w:pStyle w:val="ConsNormal"/>
        <w:widowControl/>
        <w:ind w:firstLine="0"/>
        <w:jc w:val="center"/>
        <w:outlineLvl w:val="0"/>
        <w:rPr>
          <w:b/>
        </w:rPr>
      </w:pPr>
      <w:r>
        <w:rPr>
          <w:b/>
        </w:rPr>
        <w:t xml:space="preserve"> </w:t>
      </w:r>
      <w:r w:rsidRPr="00D5065D">
        <w:rPr>
          <w:b/>
        </w:rPr>
        <w:t>ОТЧЕТНАЯ КАЛЬКУЛЯЦИЯ СЕБЕСТОИМОСТИ</w:t>
      </w:r>
    </w:p>
    <w:p w:rsidR="005204B8" w:rsidRPr="00D5065D" w:rsidRDefault="005204B8" w:rsidP="005204B8">
      <w:pPr>
        <w:pStyle w:val="ConsNormal"/>
        <w:widowControl/>
        <w:ind w:firstLine="0"/>
        <w:jc w:val="center"/>
        <w:rPr>
          <w:b/>
        </w:rPr>
      </w:pPr>
      <w:r w:rsidRPr="00D5065D">
        <w:rPr>
          <w:b/>
        </w:rPr>
        <w:t>ОТВОДА СТОЧНОЙ ЖИДКОСТИ</w:t>
      </w:r>
    </w:p>
    <w:p w:rsidR="005204B8" w:rsidRPr="00D5065D" w:rsidRDefault="005204B8" w:rsidP="005204B8">
      <w:pPr>
        <w:pStyle w:val="ConsNormal"/>
        <w:widowControl/>
        <w:ind w:firstLine="0"/>
        <w:jc w:val="center"/>
        <w:rPr>
          <w:b/>
        </w:rPr>
      </w:pPr>
      <w:r w:rsidRPr="00D5065D">
        <w:rPr>
          <w:b/>
        </w:rPr>
        <w:t xml:space="preserve">За  </w:t>
      </w:r>
      <w:r>
        <w:rPr>
          <w:b/>
        </w:rPr>
        <w:t xml:space="preserve"> 6 месяцев    201</w:t>
      </w:r>
      <w:r w:rsidR="00152F57">
        <w:rPr>
          <w:b/>
        </w:rPr>
        <w:t xml:space="preserve">3 </w:t>
      </w:r>
      <w:r w:rsidRPr="00D5065D">
        <w:rPr>
          <w:b/>
        </w:rPr>
        <w:t>года.</w:t>
      </w:r>
    </w:p>
    <w:tbl>
      <w:tblPr>
        <w:tblpPr w:leftFromText="180" w:rightFromText="180" w:vertAnchor="text" w:tblpY="20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│        </w:t>
            </w:r>
          </w:p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 Показатели        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Код строк</w:t>
            </w:r>
          </w:p>
        </w:tc>
        <w:tc>
          <w:tcPr>
            <w:tcW w:w="2598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По отчету за  соответствующий период    прошлого года</w:t>
            </w:r>
          </w:p>
        </w:tc>
        <w:tc>
          <w:tcPr>
            <w:tcW w:w="2442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Фактически</w:t>
            </w:r>
          </w:p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с начала  </w:t>
            </w:r>
            <w:r>
              <w:rPr>
                <w:b/>
                <w:sz w:val="16"/>
                <w:szCs w:val="16"/>
              </w:rPr>
              <w:t>201</w:t>
            </w:r>
            <w:r w:rsidR="00152F57">
              <w:rPr>
                <w:b/>
                <w:sz w:val="16"/>
                <w:szCs w:val="16"/>
              </w:rPr>
              <w:t>3</w:t>
            </w:r>
          </w:p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года</w:t>
            </w:r>
          </w:p>
        </w:tc>
      </w:tr>
      <w:tr w:rsidR="005204B8" w:rsidTr="00F77170">
        <w:trPr>
          <w:trHeight w:val="429"/>
        </w:trPr>
        <w:tc>
          <w:tcPr>
            <w:tcW w:w="4016" w:type="dxa"/>
          </w:tcPr>
          <w:p w:rsidR="005204B8" w:rsidRPr="003D4510" w:rsidRDefault="005204B8" w:rsidP="00F77170">
            <w:pPr>
              <w:pStyle w:val="ConsNormal"/>
              <w:widowControl/>
              <w:tabs>
                <w:tab w:val="num" w:pos="360"/>
              </w:tabs>
              <w:ind w:left="360" w:firstLine="0"/>
              <w:rPr>
                <w:b/>
                <w:sz w:val="16"/>
                <w:szCs w:val="16"/>
              </w:rPr>
            </w:pPr>
          </w:p>
          <w:p w:rsidR="005204B8" w:rsidRPr="003D4510" w:rsidRDefault="005204B8" w:rsidP="00F77170">
            <w:pPr>
              <w:pStyle w:val="ConsNormal"/>
              <w:widowControl/>
              <w:tabs>
                <w:tab w:val="num" w:pos="360"/>
              </w:tabs>
              <w:ind w:left="360" w:firstLine="0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 xml:space="preserve">1.НАТУРАЛЬНЫЕ ПОКАЗАТЕЛИ  (тыс. м3)            </w:t>
            </w:r>
          </w:p>
        </w:tc>
        <w:tc>
          <w:tcPr>
            <w:tcW w:w="1080" w:type="dxa"/>
          </w:tcPr>
          <w:p w:rsidR="005204B8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</w:rPr>
            </w:pPr>
          </w:p>
        </w:tc>
        <w:tc>
          <w:tcPr>
            <w:tcW w:w="2442" w:type="dxa"/>
          </w:tcPr>
          <w:p w:rsidR="005204B8" w:rsidRPr="003D4510" w:rsidRDefault="005204B8" w:rsidP="00F77170">
            <w:pPr>
              <w:pStyle w:val="ConsNormal"/>
              <w:widowControl/>
              <w:ind w:firstLine="0"/>
              <w:jc w:val="center"/>
              <w:rPr>
                <w:b/>
              </w:rPr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widowControl/>
            </w:pPr>
            <w:r>
              <w:t xml:space="preserve">Пропущено сточных вод - всего </w:t>
            </w:r>
          </w:p>
          <w:p w:rsidR="005204B8" w:rsidRDefault="005204B8" w:rsidP="00F77170">
            <w:pPr>
              <w:pStyle w:val="ConsNormal"/>
              <w:widowControl/>
              <w:ind w:firstLine="0"/>
            </w:pPr>
            <w:r>
              <w:t xml:space="preserve">в т.ч.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0100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51,1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48,8</w:t>
            </w:r>
          </w:p>
        </w:tc>
      </w:tr>
      <w:tr w:rsidR="005204B8" w:rsidTr="00F77170">
        <w:trPr>
          <w:trHeight w:val="252"/>
        </w:trPr>
        <w:tc>
          <w:tcPr>
            <w:tcW w:w="4016" w:type="dxa"/>
          </w:tcPr>
          <w:p w:rsidR="005204B8" w:rsidRDefault="005204B8" w:rsidP="00F77170">
            <w:pPr>
              <w:pStyle w:val="ConsNonformat"/>
              <w:widowControl/>
            </w:pPr>
            <w:r>
              <w:t xml:space="preserve">от населения                        </w:t>
            </w:r>
          </w:p>
          <w:p w:rsidR="005204B8" w:rsidRDefault="005204B8" w:rsidP="00F77170">
            <w:pPr>
              <w:pStyle w:val="ConsNormal"/>
              <w:widowControl/>
              <w:ind w:firstLine="0"/>
            </w:pP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0110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38,4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39,0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widowControl/>
            </w:pPr>
            <w:r>
              <w:t xml:space="preserve"> от  бюджетных организаций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120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10,2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7,3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widowControl/>
            </w:pPr>
            <w:r>
              <w:t xml:space="preserve"> от прочих потребителей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2,5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2,5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 w:rsidRPr="001F48E5">
              <w:t>Пропущено    через    очистные   сооружения - всего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0200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51,1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48,8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 w:rsidRPr="001F48E5">
              <w:t>в т.ч</w:t>
            </w:r>
            <w:r>
              <w:t>.</w:t>
            </w:r>
            <w:r w:rsidRPr="001F48E5">
              <w:t xml:space="preserve"> </w:t>
            </w:r>
          </w:p>
          <w:p w:rsidR="005204B8" w:rsidRPr="001F48E5" w:rsidRDefault="005204B8" w:rsidP="00F77170">
            <w:pPr>
              <w:pStyle w:val="ConsNonformat"/>
              <w:jc w:val="both"/>
            </w:pPr>
            <w:r w:rsidRPr="001F48E5">
              <w:t xml:space="preserve">на биологическую очистку                                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2310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51,1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48,8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 w:rsidRPr="001F48E5">
              <w:t xml:space="preserve">Передано   сточных    вод   на  чистку другим канализациям                                      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0300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0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0</w:t>
            </w: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numPr>
                <w:ilvl w:val="0"/>
                <w:numId w:val="1"/>
              </w:numPr>
              <w:tabs>
                <w:tab w:val="clear" w:pos="1080"/>
                <w:tab w:val="num" w:pos="360"/>
              </w:tabs>
              <w:ind w:left="360"/>
              <w:rPr>
                <w:b/>
                <w:sz w:val="16"/>
                <w:szCs w:val="16"/>
              </w:rPr>
            </w:pPr>
            <w:r w:rsidRPr="003D4510">
              <w:rPr>
                <w:b/>
                <w:sz w:val="16"/>
                <w:szCs w:val="16"/>
              </w:rPr>
              <w:t>2.ПОЛНАЯ СЕБЕСТОИМОСТЬ     ОТВОДА СТОЧНОЙ ЖИДКОСТИ  (... руб.)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rPr>
          <w:trHeight w:val="387"/>
        </w:trPr>
        <w:tc>
          <w:tcPr>
            <w:tcW w:w="4016" w:type="dxa"/>
          </w:tcPr>
          <w:p w:rsidR="005204B8" w:rsidRPr="003D4510" w:rsidRDefault="005204B8" w:rsidP="00F77170">
            <w:pPr>
              <w:rPr>
                <w:b/>
                <w:sz w:val="20"/>
                <w:szCs w:val="20"/>
              </w:rPr>
            </w:pPr>
            <w:r w:rsidRPr="001F48E5">
              <w:t xml:space="preserve">        </w:t>
            </w:r>
            <w:r w:rsidRPr="003D4510">
              <w:rPr>
                <w:b/>
                <w:sz w:val="20"/>
                <w:szCs w:val="20"/>
              </w:rPr>
              <w:t xml:space="preserve">Перекачка сточной  жидкости всего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4510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582,8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729,8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</w:pP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>
              <w:t>электроэнергия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0410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164,1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136,5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>
              <w:t>амортизация  (аренда)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0420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101,0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107,5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>
              <w:t>ремонт   и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</w:p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  <w:r w:rsidRPr="003D4510">
              <w:rPr>
                <w:rFonts w:ascii="Arial" w:hAnsi="Arial" w:cs="Arial"/>
              </w:rPr>
              <w:t>0430</w:t>
            </w:r>
          </w:p>
        </w:tc>
        <w:tc>
          <w:tcPr>
            <w:tcW w:w="2598" w:type="dxa"/>
          </w:tcPr>
          <w:p w:rsidR="005204B8" w:rsidRPr="00062E0C" w:rsidRDefault="00152F57" w:rsidP="00F77170">
            <w:pPr>
              <w:jc w:val="center"/>
            </w:pPr>
            <w:r>
              <w:t>48,9</w:t>
            </w:r>
          </w:p>
        </w:tc>
        <w:tc>
          <w:tcPr>
            <w:tcW w:w="2442" w:type="dxa"/>
          </w:tcPr>
          <w:p w:rsidR="005204B8" w:rsidRPr="0061789E" w:rsidRDefault="00152F57" w:rsidP="00F77170">
            <w:pPr>
              <w:jc w:val="center"/>
            </w:pPr>
            <w:r>
              <w:t>65,5</w:t>
            </w:r>
          </w:p>
        </w:tc>
      </w:tr>
      <w:tr w:rsidR="005204B8" w:rsidTr="00F77170">
        <w:tc>
          <w:tcPr>
            <w:tcW w:w="4016" w:type="dxa"/>
          </w:tcPr>
          <w:p w:rsidR="005204B8" w:rsidRPr="001F48E5" w:rsidRDefault="005204B8" w:rsidP="00F77170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5204B8" w:rsidRPr="003D4510" w:rsidRDefault="005204B8" w:rsidP="00F77170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rmal"/>
              <w:widowControl/>
              <w:ind w:firstLine="0"/>
            </w:pPr>
            <w:r>
              <w:t xml:space="preserve">капитальный ремонт  или резерв расходов    на   оплату капитального ремонта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0431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rmal"/>
              <w:widowControl/>
              <w:ind w:firstLine="0"/>
            </w:pPr>
            <w:r>
              <w:t>затраты на оплату труда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0440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206,8</w:t>
            </w:r>
          </w:p>
        </w:tc>
        <w:tc>
          <w:tcPr>
            <w:tcW w:w="2442" w:type="dxa"/>
          </w:tcPr>
          <w:p w:rsidR="005204B8" w:rsidRPr="00D61F9B" w:rsidRDefault="00152F57" w:rsidP="00152F57">
            <w:pPr>
              <w:pStyle w:val="ConsNormal"/>
              <w:widowControl/>
              <w:ind w:firstLine="0"/>
              <w:jc w:val="center"/>
            </w:pPr>
            <w:r>
              <w:t>323,0</w:t>
            </w:r>
          </w:p>
        </w:tc>
      </w:tr>
      <w:tr w:rsidR="005204B8" w:rsidTr="00F77170">
        <w:trPr>
          <w:trHeight w:val="489"/>
        </w:trPr>
        <w:tc>
          <w:tcPr>
            <w:tcW w:w="4016" w:type="dxa"/>
          </w:tcPr>
          <w:p w:rsidR="005204B8" w:rsidRDefault="005204B8" w:rsidP="00F77170">
            <w:pPr>
              <w:pStyle w:val="ConsNormal"/>
              <w:widowControl/>
              <w:ind w:firstLine="0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0450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62,0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97,3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rmal"/>
              <w:widowControl/>
              <w:ind w:firstLine="0"/>
            </w:pPr>
            <w:r>
              <w:t xml:space="preserve">  цеховые расходы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0460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Очистка сточной   жидкости   -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всего 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0500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в т.ч.     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       электроэнергия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0510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       материалы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0520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       амортизация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0530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rPr>
          <w:trHeight w:val="899"/>
        </w:trPr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       ремонт   и  </w:t>
            </w:r>
            <w:proofErr w:type="gramStart"/>
            <w:r w:rsidRPr="005D50AC">
              <w:t>техническое</w:t>
            </w:r>
            <w:proofErr w:type="gramEnd"/>
            <w:r w:rsidRPr="005D50AC">
              <w:t xml:space="preserve">     </w:t>
            </w:r>
          </w:p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обслуживание    или     резерв     </w:t>
            </w:r>
          </w:p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расходов на  оплату всех видов     </w:t>
            </w:r>
          </w:p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ремонта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0540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в т.ч.     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</w:tbl>
    <w:p w:rsidR="005204B8" w:rsidRDefault="005204B8" w:rsidP="005204B8">
      <w:pPr>
        <w:pStyle w:val="ConsNormal"/>
        <w:widowControl/>
        <w:ind w:firstLine="0"/>
        <w:jc w:val="center"/>
      </w:pPr>
    </w:p>
    <w:p w:rsidR="005204B8" w:rsidRDefault="005204B8" w:rsidP="005204B8">
      <w:pPr>
        <w:pStyle w:val="ConsNormal"/>
        <w:widowControl/>
        <w:ind w:firstLine="0"/>
        <w:jc w:val="center"/>
      </w:pPr>
    </w:p>
    <w:p w:rsidR="005204B8" w:rsidRDefault="005204B8" w:rsidP="005204B8">
      <w:pPr>
        <w:pStyle w:val="ConsNormal"/>
        <w:widowControl/>
        <w:ind w:firstLine="0"/>
        <w:jc w:val="center"/>
      </w:pPr>
    </w:p>
    <w:p w:rsidR="005204B8" w:rsidRDefault="005204B8" w:rsidP="005204B8">
      <w:pPr>
        <w:pStyle w:val="ConsNormal"/>
        <w:widowControl/>
        <w:ind w:firstLine="0"/>
        <w:jc w:val="center"/>
      </w:pPr>
    </w:p>
    <w:p w:rsidR="005204B8" w:rsidRDefault="005204B8" w:rsidP="005204B8">
      <w:pPr>
        <w:pStyle w:val="ConsNormal"/>
        <w:widowControl/>
        <w:ind w:firstLine="540"/>
        <w:jc w:val="both"/>
        <w:rPr>
          <w:bCs/>
        </w:rPr>
      </w:pPr>
    </w:p>
    <w:tbl>
      <w:tblPr>
        <w:tblW w:w="101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5204B8" w:rsidTr="00F77170">
        <w:trPr>
          <w:trHeight w:val="680"/>
        </w:trPr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lastRenderedPageBreak/>
              <w:t xml:space="preserve">       капитальный ремонт  или     </w:t>
            </w:r>
          </w:p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резерв   расходов   на  оплату     </w:t>
            </w:r>
          </w:p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капитального ремонта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0541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 w:rsidRPr="005D50AC">
              <w:t xml:space="preserve">       затраты на оплату труда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0550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</w:pPr>
          </w:p>
        </w:tc>
      </w:tr>
      <w:tr w:rsidR="005204B8" w:rsidTr="00F77170">
        <w:trPr>
          <w:trHeight w:val="612"/>
        </w:trPr>
        <w:tc>
          <w:tcPr>
            <w:tcW w:w="4016" w:type="dxa"/>
          </w:tcPr>
          <w:p w:rsidR="005204B8" w:rsidRDefault="005204B8" w:rsidP="00F77170">
            <w:r>
              <w:t xml:space="preserve">отчисления           на    социальные нужды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0560</w:t>
            </w:r>
          </w:p>
        </w:tc>
        <w:tc>
          <w:tcPr>
            <w:tcW w:w="2598" w:type="dxa"/>
          </w:tcPr>
          <w:p w:rsidR="005204B8" w:rsidRPr="0053580E" w:rsidRDefault="005204B8" w:rsidP="00F77170"/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</w:pP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0570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Транспортирование и утилизация сточной жидкости - всего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941,4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1591,3</w:t>
            </w:r>
          </w:p>
        </w:tc>
      </w:tr>
      <w:tr w:rsidR="005204B8" w:rsidTr="00F77170">
        <w:tc>
          <w:tcPr>
            <w:tcW w:w="4016" w:type="dxa"/>
          </w:tcPr>
          <w:p w:rsidR="005204B8" w:rsidRPr="005D50AC" w:rsidRDefault="005204B8" w:rsidP="00F77170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электроэнергия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0610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164,1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136,5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амортизация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0620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101,0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107,5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>ремонт  и 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0630</w:t>
            </w:r>
          </w:p>
        </w:tc>
        <w:tc>
          <w:tcPr>
            <w:tcW w:w="2598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2442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rPr>
          <w:trHeight w:val="762"/>
        </w:trPr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капитальный ремонт  или резерв   расходов   на  оплату капитального ремонта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0631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>затраты на оплату труда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0640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482,4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484,5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0650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144,9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146,0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0660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Проведение аварийно          восстановительных работ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0700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>Содержание    и   обслуживание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внутридомовых сетей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0800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Ремонтный фонд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0900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>Прочие прямые расходы - всего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1000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111,8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369,3</w:t>
            </w: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 т.ч.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оплата    работ  службы «Заказчика»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1010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отчисления на страхование имущества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1020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Общеэксплуа</w:t>
            </w:r>
            <w:r w:rsidRPr="003D4510">
              <w:rPr>
                <w:b/>
              </w:rPr>
              <w:t>тационные</w:t>
            </w:r>
            <w:proofErr w:type="spellEnd"/>
            <w:r w:rsidRPr="003D4510">
              <w:rPr>
                <w:b/>
              </w:rPr>
              <w:t xml:space="preserve"> расходы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1100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643,7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282,0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ИТОГО расходов по эксплуатации │(ст. 0400 + 0500 + 0600 + 0700+ 0800 + 0900 + 1000 + 1100)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1200</w:t>
            </w:r>
          </w:p>
        </w:tc>
        <w:tc>
          <w:tcPr>
            <w:tcW w:w="2598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2279,7</w:t>
            </w:r>
          </w:p>
        </w:tc>
        <w:tc>
          <w:tcPr>
            <w:tcW w:w="2442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2321,1</w:t>
            </w:r>
          </w:p>
        </w:tc>
      </w:tr>
      <w:tr w:rsidR="005204B8" w:rsidTr="00F77170">
        <w:tc>
          <w:tcPr>
            <w:tcW w:w="4016" w:type="dxa"/>
          </w:tcPr>
          <w:p w:rsidR="005204B8" w:rsidRDefault="005204B8" w:rsidP="00F77170">
            <w:pPr>
              <w:pStyle w:val="ConsNonformat"/>
              <w:jc w:val="both"/>
            </w:pPr>
            <w:r>
              <w:t xml:space="preserve">Внеэксплуатационные расходы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1300</w:t>
            </w: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RPr="003D4510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ВСЕГО   расходов   по   полной себестоимости  (ст. 1200 + 1300)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1400</w:t>
            </w:r>
          </w:p>
        </w:tc>
        <w:tc>
          <w:tcPr>
            <w:tcW w:w="2598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2279,7</w:t>
            </w:r>
          </w:p>
        </w:tc>
        <w:tc>
          <w:tcPr>
            <w:tcW w:w="2442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2321,1</w:t>
            </w:r>
          </w:p>
        </w:tc>
      </w:tr>
      <w:tr w:rsidR="005204B8" w:rsidTr="00F77170">
        <w:trPr>
          <w:trHeight w:val="783"/>
        </w:trPr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Себестоимость   за     1    м3 пропущенной сточной  жидкости руб.         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1500</w:t>
            </w:r>
          </w:p>
        </w:tc>
        <w:tc>
          <w:tcPr>
            <w:tcW w:w="2598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44,61</w:t>
            </w:r>
          </w:p>
        </w:tc>
        <w:tc>
          <w:tcPr>
            <w:tcW w:w="2442" w:type="dxa"/>
          </w:tcPr>
          <w:p w:rsidR="005204B8" w:rsidRPr="003D4510" w:rsidRDefault="00152F57" w:rsidP="00F77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47,56</w:t>
            </w: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ВСЕГО доходов 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1600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1343,93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1416,0</w:t>
            </w: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в т.ч. от населения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  <w:r w:rsidRPr="00D61F9B">
              <w:t>1610</w:t>
            </w: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1009,9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1131,1</w:t>
            </w: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proofErr w:type="spellStart"/>
            <w:r w:rsidRPr="003D4510">
              <w:rPr>
                <w:b/>
              </w:rPr>
              <w:t>Справочно</w:t>
            </w:r>
            <w:proofErr w:type="spellEnd"/>
            <w:r w:rsidRPr="003D4510">
              <w:rPr>
                <w:b/>
              </w:rPr>
              <w:t xml:space="preserve">: ЭОТ            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442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</w:tr>
      <w:tr w:rsidR="005204B8" w:rsidTr="00F77170">
        <w:tc>
          <w:tcPr>
            <w:tcW w:w="4016" w:type="dxa"/>
          </w:tcPr>
          <w:p w:rsidR="005204B8" w:rsidRPr="003D4510" w:rsidRDefault="005204B8" w:rsidP="00F77170">
            <w:pPr>
              <w:pStyle w:val="ConsNonformat"/>
              <w:jc w:val="both"/>
              <w:rPr>
                <w:b/>
              </w:rPr>
            </w:pPr>
            <w:r w:rsidRPr="003D4510">
              <w:rPr>
                <w:b/>
              </w:rPr>
              <w:t xml:space="preserve">тариф для населения    </w:t>
            </w:r>
          </w:p>
        </w:tc>
        <w:tc>
          <w:tcPr>
            <w:tcW w:w="1080" w:type="dxa"/>
          </w:tcPr>
          <w:p w:rsidR="005204B8" w:rsidRPr="00D61F9B" w:rsidRDefault="005204B8" w:rsidP="00F77170">
            <w:pPr>
              <w:pStyle w:val="ConsNormal"/>
              <w:widowControl/>
              <w:ind w:firstLine="0"/>
              <w:jc w:val="center"/>
            </w:pPr>
          </w:p>
        </w:tc>
        <w:tc>
          <w:tcPr>
            <w:tcW w:w="2598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26,3</w:t>
            </w:r>
          </w:p>
        </w:tc>
        <w:tc>
          <w:tcPr>
            <w:tcW w:w="2442" w:type="dxa"/>
          </w:tcPr>
          <w:p w:rsidR="005204B8" w:rsidRPr="00D61F9B" w:rsidRDefault="00152F57" w:rsidP="00F77170">
            <w:pPr>
              <w:pStyle w:val="ConsNormal"/>
              <w:widowControl/>
              <w:ind w:firstLine="0"/>
              <w:jc w:val="center"/>
            </w:pPr>
            <w:r>
              <w:t>29,03</w:t>
            </w:r>
          </w:p>
        </w:tc>
      </w:tr>
    </w:tbl>
    <w:p w:rsidR="005204B8" w:rsidRDefault="005204B8" w:rsidP="005204B8">
      <w:pPr>
        <w:pStyle w:val="ConsNormal"/>
        <w:widowControl/>
        <w:ind w:firstLine="540"/>
        <w:jc w:val="both"/>
      </w:pPr>
      <w:r>
        <w:t xml:space="preserve"> </w:t>
      </w:r>
    </w:p>
    <w:p w:rsidR="005204B8" w:rsidRDefault="005204B8" w:rsidP="005204B8">
      <w:pPr>
        <w:pStyle w:val="ConsNormal"/>
        <w:widowControl/>
        <w:ind w:firstLine="540"/>
        <w:jc w:val="both"/>
      </w:pPr>
      <w:r>
        <w:t xml:space="preserve">       Директор</w:t>
      </w:r>
    </w:p>
    <w:p w:rsidR="005204B8" w:rsidRDefault="005204B8" w:rsidP="005204B8">
      <w:pPr>
        <w:pStyle w:val="ConsNormal"/>
        <w:widowControl/>
        <w:ind w:firstLine="540"/>
        <w:jc w:val="both"/>
      </w:pPr>
      <w:r>
        <w:t xml:space="preserve">ООО «Водоканал»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spellStart"/>
      <w:r>
        <w:t>С.А.Бармин</w:t>
      </w:r>
      <w:proofErr w:type="spellEnd"/>
      <w:r>
        <w:t xml:space="preserve">.    </w:t>
      </w:r>
    </w:p>
    <w:p w:rsidR="005204B8" w:rsidRDefault="005204B8" w:rsidP="005204B8">
      <w:pPr>
        <w:pStyle w:val="ConsNormal"/>
        <w:widowControl/>
        <w:ind w:firstLine="540"/>
        <w:jc w:val="both"/>
      </w:pPr>
      <w:r>
        <w:t xml:space="preserve">  </w:t>
      </w:r>
    </w:p>
    <w:p w:rsidR="005204B8" w:rsidRDefault="005204B8" w:rsidP="005204B8">
      <w:pPr>
        <w:pStyle w:val="ConsNormal"/>
        <w:widowControl/>
        <w:ind w:firstLine="0"/>
        <w:jc w:val="both"/>
      </w:pPr>
      <w:r>
        <w:t xml:space="preserve">                </w:t>
      </w:r>
    </w:p>
    <w:p w:rsidR="005204B8" w:rsidRDefault="005204B8" w:rsidP="005204B8">
      <w:pPr>
        <w:pStyle w:val="ConsNormal"/>
        <w:widowControl/>
        <w:ind w:firstLine="0"/>
        <w:jc w:val="both"/>
        <w:rPr>
          <w:b/>
          <w:bCs/>
        </w:rPr>
      </w:pPr>
      <w:r>
        <w:t xml:space="preserve">           </w:t>
      </w:r>
      <w:r w:rsidR="00152F57">
        <w:t>Экономист</w:t>
      </w: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</w:t>
      </w:r>
      <w:r w:rsidR="00152F57">
        <w:t>В.Лепехина</w:t>
      </w:r>
      <w:r>
        <w:t>.</w:t>
      </w:r>
    </w:p>
    <w:p w:rsidR="005204B8" w:rsidRDefault="005204B8" w:rsidP="005204B8">
      <w:pPr>
        <w:pStyle w:val="ConsNormal"/>
        <w:widowControl/>
        <w:ind w:firstLine="0"/>
        <w:jc w:val="both"/>
        <w:rPr>
          <w:b/>
          <w:bCs/>
        </w:rPr>
      </w:pPr>
    </w:p>
    <w:p w:rsidR="00C91463" w:rsidRDefault="00C91463"/>
    <w:sectPr w:rsidR="00C91463" w:rsidSect="00341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3774"/>
    <w:multiLevelType w:val="hybridMultilevel"/>
    <w:tmpl w:val="06C86508"/>
    <w:lvl w:ilvl="0" w:tplc="8C5ADD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4B8"/>
    <w:rsid w:val="00152F57"/>
    <w:rsid w:val="003418DF"/>
    <w:rsid w:val="005204B8"/>
    <w:rsid w:val="00C9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20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20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596</Words>
  <Characters>3403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2012-07-30T09:50:00Z</dcterms:created>
  <dcterms:modified xsi:type="dcterms:W3CDTF">2013-07-22T11:27:00Z</dcterms:modified>
</cp:coreProperties>
</file>